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2279"/>
      </w:tblGrid>
      <w:tr w:rsidR="009701F0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9701F0" w:rsidRPr="004D2365" w:rsidRDefault="009701F0" w:rsidP="004D236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987" w:type="pct"/>
            <w:shd w:val="clear" w:color="auto" w:fill="auto"/>
            <w:vAlign w:val="center"/>
          </w:tcPr>
          <w:p w:rsidR="009701F0" w:rsidRPr="004D2365" w:rsidRDefault="00981C76" w:rsidP="004D2365">
            <w:pPr>
              <w:pStyle w:val="Default"/>
              <w:rPr>
                <w:rFonts w:asciiTheme="minorHAnsi" w:hAnsiTheme="minorHAnsi" w:cstheme="minorHAnsi"/>
                <w:color w:val="0B0C0C"/>
                <w:sz w:val="44"/>
                <w:szCs w:val="44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bCs/>
                <w:sz w:val="44"/>
                <w:szCs w:val="44"/>
              </w:rPr>
              <w:t>Social Worker</w:t>
            </w:r>
          </w:p>
        </w:tc>
      </w:tr>
      <w:tr w:rsidR="007E28B4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7E28B4" w:rsidRPr="004D2365" w:rsidRDefault="009701F0" w:rsidP="004D23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987" w:type="pct"/>
            <w:shd w:val="clear" w:color="auto" w:fill="auto"/>
            <w:vAlign w:val="center"/>
          </w:tcPr>
          <w:p w:rsidR="007E28B4" w:rsidRPr="00105FEC" w:rsidRDefault="003B2D8D" w:rsidP="003B2D8D">
            <w:pPr>
              <w:pStyle w:val="Default"/>
              <w:rPr>
                <w:rFonts w:asciiTheme="minorHAnsi" w:hAnsiTheme="minorHAnsi" w:cstheme="minorHAnsi"/>
              </w:rPr>
            </w:pPr>
            <w:r w:rsidRPr="00105FEC">
              <w:rPr>
                <w:rFonts w:asciiTheme="minorHAnsi" w:hAnsiTheme="minorHAnsi" w:cstheme="minorHAnsi"/>
              </w:rPr>
              <w:t>Social workers help to protect vulnerable children and adults from harm or abuse, and support people to live independently.</w:t>
            </w:r>
          </w:p>
        </w:tc>
      </w:tr>
      <w:tr w:rsidR="00105FEC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Entry requirements: </w:t>
            </w:r>
          </w:p>
        </w:tc>
        <w:tc>
          <w:tcPr>
            <w:tcW w:w="3987" w:type="pct"/>
            <w:shd w:val="clear" w:color="auto" w:fill="auto"/>
          </w:tcPr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105FEC">
              <w:rPr>
                <w:rFonts w:asciiTheme="minorHAnsi" w:hAnsiTheme="minorHAnsi" w:cstheme="minorHAnsi"/>
                <w:color w:val="0B0C0C"/>
              </w:rPr>
              <w:t>You can do a degree or postgraduate qualification in social work approved by the </w:t>
            </w:r>
            <w:r w:rsidRPr="00105FEC">
              <w:rPr>
                <w:rFonts w:asciiTheme="minorHAnsi" w:hAnsiTheme="minorHAnsi" w:cstheme="minorHAnsi"/>
                <w:color w:val="0B0C0C"/>
                <w:bdr w:val="none" w:sz="0" w:space="0" w:color="auto" w:frame="1"/>
              </w:rPr>
              <w:t>Health and Care Professions Council</w:t>
            </w:r>
            <w:r w:rsidRPr="00105FEC">
              <w:rPr>
                <w:rFonts w:asciiTheme="minorHAnsi" w:hAnsiTheme="minorHAnsi" w:cstheme="minorHAnsi"/>
                <w:color w:val="0B0C0C"/>
              </w:rPr>
              <w:t>.</w:t>
            </w:r>
          </w:p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105FEC">
              <w:rPr>
                <w:rFonts w:asciiTheme="minorHAnsi" w:hAnsiTheme="minorHAnsi" w:cstheme="minorHAnsi"/>
                <w:color w:val="0B0C0C"/>
              </w:rPr>
              <w:t>You could do a 2-year postgraduate degree in social work, if you have a degree in another subject.</w:t>
            </w:r>
          </w:p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105FEC">
              <w:rPr>
                <w:rFonts w:asciiTheme="minorHAnsi" w:hAnsiTheme="minorHAnsi" w:cstheme="minorHAnsi"/>
                <w:color w:val="0B0C0C"/>
              </w:rPr>
              <w:t>You may be eligible for social work funding.</w:t>
            </w:r>
          </w:p>
          <w:p w:rsidR="00105FEC" w:rsidRPr="00105FEC" w:rsidRDefault="00105FEC" w:rsidP="00105FEC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color w:val="0B0C0C"/>
              </w:rPr>
            </w:pPr>
            <w:r w:rsidRPr="00105FEC">
              <w:rPr>
                <w:rFonts w:asciiTheme="minorHAnsi" w:hAnsiTheme="minorHAnsi" w:cstheme="minorHAnsi"/>
                <w:color w:val="0B0C0C"/>
              </w:rPr>
              <w:t>Entry requirements</w:t>
            </w:r>
          </w:p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105FEC">
              <w:rPr>
                <w:rFonts w:asciiTheme="minorHAnsi" w:hAnsiTheme="minorHAnsi" w:cstheme="minorHAnsi"/>
                <w:color w:val="0B0C0C"/>
              </w:rPr>
              <w:t>You'll usually need: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  <w:r w:rsidRPr="00105FEC">
              <w:rPr>
                <w:rFonts w:cstheme="minorHAnsi"/>
                <w:color w:val="0B0C0C"/>
                <w:sz w:val="24"/>
                <w:szCs w:val="24"/>
              </w:rPr>
              <w:t>5 GCSEs at grade 9 to 4 (A* to C) or above and 2 to 3 A levels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  <w:r w:rsidRPr="00105FEC">
              <w:rPr>
                <w:rFonts w:cstheme="minorHAnsi"/>
                <w:color w:val="0B0C0C"/>
                <w:sz w:val="24"/>
                <w:szCs w:val="24"/>
              </w:rPr>
              <w:t>a degree in any subject for a postgra</w:t>
            </w:r>
            <w:bookmarkStart w:id="0" w:name="_GoBack"/>
            <w:bookmarkEnd w:id="0"/>
            <w:r w:rsidRPr="00105FEC">
              <w:rPr>
                <w:rFonts w:cstheme="minorHAnsi"/>
                <w:color w:val="0B0C0C"/>
                <w:sz w:val="24"/>
                <w:szCs w:val="24"/>
              </w:rPr>
              <w:t>duate course</w:t>
            </w:r>
          </w:p>
          <w:p w:rsidR="00105FEC" w:rsidRPr="00105FEC" w:rsidRDefault="00105FEC" w:rsidP="00105FEC">
            <w:p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</w:p>
          <w:p w:rsidR="00105FEC" w:rsidRPr="00105FEC" w:rsidRDefault="00105FEC" w:rsidP="00105FEC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You can complete a social worker degree apprenticeship.</w:t>
            </w:r>
          </w:p>
          <w:p w:rsidR="00105FEC" w:rsidRPr="00105FEC" w:rsidRDefault="00105FEC" w:rsidP="00105FEC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105FEC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 w:rsidR="00105FEC" w:rsidRPr="00105FEC" w:rsidRDefault="00105FEC" w:rsidP="00105FEC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4 or 5 GCSEs at grades 9 to 4 (A* to C) and college qualifications like A levels for a degree apprenticeship</w:t>
            </w:r>
          </w:p>
          <w:p w:rsidR="00105FEC" w:rsidRPr="00105FEC" w:rsidRDefault="00105FEC" w:rsidP="00105FEC">
            <w:p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</w:p>
        </w:tc>
      </w:tr>
      <w:tr w:rsidR="00105FEC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Skills required: </w:t>
            </w:r>
          </w:p>
        </w:tc>
        <w:tc>
          <w:tcPr>
            <w:tcW w:w="3987" w:type="pct"/>
            <w:shd w:val="clear" w:color="auto" w:fill="auto"/>
          </w:tcPr>
          <w:p w:rsidR="00105FEC" w:rsidRPr="00105FEC" w:rsidRDefault="00105FEC" w:rsidP="00105FEC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You'll need: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Counselling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skills including active listening and a non-judgemental approach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Sensitivity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and understanding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Patience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and the ability to remain calm in stressful situations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To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be flexible and open to change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The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ability to work well with others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Knowledge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of psychology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The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ability to accept criticism and work well under pressure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Active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listening skills</w:t>
            </w:r>
          </w:p>
          <w:p w:rsidR="00105FEC" w:rsidRPr="00105FEC" w:rsidRDefault="00105FEC" w:rsidP="00BB46F9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Being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 able to use a computer terminal or hand-held device may be beneficial for this job.</w:t>
            </w:r>
          </w:p>
        </w:tc>
      </w:tr>
      <w:tr w:rsidR="00105FEC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What you'll do: </w:t>
            </w:r>
          </w:p>
        </w:tc>
        <w:tc>
          <w:tcPr>
            <w:tcW w:w="3987" w:type="pct"/>
            <w:shd w:val="clear" w:color="auto" w:fill="auto"/>
          </w:tcPr>
          <w:p w:rsidR="00105FEC" w:rsidRPr="00105FEC" w:rsidRDefault="00105FEC" w:rsidP="00105FEC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Offering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information and counselling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Putting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together support plans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Keeping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records and writing reports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Working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with other professionals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Supervising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team members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Attending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court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 xml:space="preserve">Discussing </w:t>
            </w: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your cases through regular supervision</w:t>
            </w:r>
          </w:p>
        </w:tc>
      </w:tr>
      <w:tr w:rsidR="00105FEC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 xml:space="preserve">What you’ll earn: </w:t>
            </w:r>
          </w:p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[</w:t>
            </w:r>
            <w:r w:rsidRPr="004D2365">
              <w:rPr>
                <w:rFonts w:asciiTheme="minorHAnsi" w:eastAsia="Times New Roman" w:hAnsiTheme="minorHAnsi" w:cstheme="minorHAnsi"/>
                <w:b/>
                <w:i/>
                <w:color w:val="0B0C0C"/>
                <w:lang w:eastAsia="en-GB"/>
              </w:rPr>
              <w:t>These figures are a guide.]</w:t>
            </w:r>
          </w:p>
        </w:tc>
        <w:tc>
          <w:tcPr>
            <w:tcW w:w="3987" w:type="pct"/>
            <w:shd w:val="clear" w:color="auto" w:fill="auto"/>
          </w:tcPr>
          <w:p w:rsidR="00105FEC" w:rsidRPr="00105FEC" w:rsidRDefault="00105FEC" w:rsidP="00105FEC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Starter: £24,000</w:t>
            </w:r>
          </w:p>
          <w:p w:rsidR="00105FEC" w:rsidRPr="00105FEC" w:rsidRDefault="00105FEC" w:rsidP="00105FEC">
            <w:pPr>
              <w:shd w:val="clear" w:color="auto" w:fill="FFFFFF"/>
              <w:rPr>
                <w:rFonts w:cstheme="minorHAnsi"/>
                <w:b/>
                <w:bCs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Experienced: £40,000</w:t>
            </w:r>
          </w:p>
        </w:tc>
      </w:tr>
      <w:tr w:rsidR="00105FEC" w:rsidRPr="004D2365" w:rsidTr="00105FEC">
        <w:trPr>
          <w:trHeight w:val="685"/>
        </w:trPr>
        <w:tc>
          <w:tcPr>
            <w:tcW w:w="1013" w:type="pct"/>
            <w:shd w:val="clear" w:color="auto" w:fill="auto"/>
            <w:vAlign w:val="center"/>
          </w:tcPr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Working hours, patterns and environment:</w:t>
            </w:r>
          </w:p>
        </w:tc>
        <w:tc>
          <w:tcPr>
            <w:tcW w:w="3987" w:type="pct"/>
            <w:shd w:val="clear" w:color="auto" w:fill="auto"/>
          </w:tcPr>
          <w:p w:rsidR="00105FEC" w:rsidRPr="00105FEC" w:rsidRDefault="00105FEC" w:rsidP="00BB46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B0C0C"/>
                <w:szCs w:val="29"/>
              </w:rPr>
            </w:pP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You could work in an office, in an NHS or private hospital, at an adult care home, at a children's care home or in the community.</w:t>
            </w:r>
          </w:p>
          <w:p w:rsidR="00105FEC" w:rsidRPr="00105FEC" w:rsidRDefault="00105FEC" w:rsidP="00BB46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B0C0C"/>
                <w:szCs w:val="29"/>
              </w:rPr>
            </w:pP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Your working environment may be emotionally demanding.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37 to 40 hours a week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105FEC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Evenings, weekends, bank holidays on a rota</w:t>
            </w:r>
          </w:p>
        </w:tc>
      </w:tr>
      <w:tr w:rsidR="00105FEC" w:rsidRPr="004D2365" w:rsidTr="00105FEC">
        <w:trPr>
          <w:trHeight w:val="850"/>
        </w:trPr>
        <w:tc>
          <w:tcPr>
            <w:tcW w:w="1013" w:type="pct"/>
            <w:shd w:val="clear" w:color="auto" w:fill="auto"/>
            <w:vAlign w:val="center"/>
          </w:tcPr>
          <w:p w:rsidR="00105FEC" w:rsidRPr="004D2365" w:rsidRDefault="00105FEC" w:rsidP="00105FE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D2365">
              <w:rPr>
                <w:rFonts w:asciiTheme="minorHAnsi" w:hAnsiTheme="minorHAnsi" w:cstheme="minorHAnsi"/>
                <w:b/>
                <w:bCs/>
              </w:rPr>
              <w:t>Career path and progression:</w:t>
            </w:r>
          </w:p>
        </w:tc>
        <w:tc>
          <w:tcPr>
            <w:tcW w:w="3987" w:type="pct"/>
            <w:shd w:val="clear" w:color="auto" w:fill="auto"/>
          </w:tcPr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Cs w:val="29"/>
              </w:rPr>
            </w:pP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During your first year in work your employer may offer the</w:t>
            </w:r>
            <w:r w:rsidRPr="00105FEC">
              <w:rPr>
                <w:rFonts w:asciiTheme="minorHAnsi" w:hAnsiTheme="minorHAnsi" w:cstheme="minorHAnsi"/>
                <w:color w:val="0B0C0C"/>
                <w:szCs w:val="29"/>
                <w:bdr w:val="none" w:sz="0" w:space="0" w:color="auto" w:frame="1"/>
              </w:rPr>
              <w:t> Assessed and Supported Year in Employment (ASYE)</w:t>
            </w: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. This includes extra support like:</w:t>
            </w:r>
          </w:p>
          <w:p w:rsidR="00105FEC" w:rsidRPr="00105FEC" w:rsidRDefault="00105FEC" w:rsidP="00BB46F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color w:val="0B0C0C"/>
                <w:sz w:val="24"/>
                <w:szCs w:val="29"/>
              </w:rPr>
            </w:pPr>
            <w:r w:rsidRPr="00105FEC">
              <w:rPr>
                <w:rFonts w:cstheme="minorHAnsi"/>
                <w:color w:val="0B0C0C"/>
                <w:sz w:val="24"/>
                <w:szCs w:val="29"/>
              </w:rPr>
              <w:t>regular supervision</w:t>
            </w:r>
          </w:p>
          <w:p w:rsidR="00105FEC" w:rsidRPr="00105FEC" w:rsidRDefault="00105FEC" w:rsidP="00BB46F9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color w:val="0B0C0C"/>
                <w:sz w:val="24"/>
                <w:szCs w:val="29"/>
              </w:rPr>
            </w:pPr>
            <w:r w:rsidRPr="00105FEC">
              <w:rPr>
                <w:rFonts w:cstheme="minorHAnsi"/>
                <w:color w:val="0B0C0C"/>
                <w:sz w:val="24"/>
                <w:szCs w:val="29"/>
              </w:rPr>
              <w:t>a training and development plan</w:t>
            </w:r>
          </w:p>
          <w:p w:rsidR="00105FEC" w:rsidRPr="00105FEC" w:rsidRDefault="00105FEC" w:rsidP="00BB46F9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color w:val="0B0C0C"/>
                <w:sz w:val="24"/>
                <w:szCs w:val="29"/>
              </w:rPr>
            </w:pPr>
            <w:r w:rsidRPr="00105FEC">
              <w:rPr>
                <w:rFonts w:cstheme="minorHAnsi"/>
                <w:color w:val="0B0C0C"/>
                <w:sz w:val="24"/>
                <w:szCs w:val="29"/>
              </w:rPr>
              <w:t>time to meet your training and development needs</w:t>
            </w:r>
          </w:p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Cs w:val="29"/>
              </w:rPr>
            </w:pP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You'll need to pass your ASYE in the first 12 months of being employed so that you can get your fitness to practice certificate.</w:t>
            </w:r>
          </w:p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Cs w:val="29"/>
              </w:rPr>
            </w:pP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When you've completed your ASYE, you'll be given a training pathway to keep your skills current and to help you progress. Each local authority will have a career pathway, with some offering the chance to study for an MA in Advanced Professional Practice.  </w:t>
            </w:r>
          </w:p>
          <w:p w:rsidR="00105FEC" w:rsidRPr="00105FEC" w:rsidRDefault="00105FEC" w:rsidP="00105F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105FEC">
              <w:rPr>
                <w:rFonts w:asciiTheme="minorHAnsi" w:hAnsiTheme="minorHAnsi" w:cstheme="minorHAnsi"/>
                <w:color w:val="0B0C0C"/>
                <w:szCs w:val="29"/>
              </w:rPr>
              <w:t>With experience, you'll usually find opportunities to progress into management, research or study for a PhD. You could also become a practice educator and train and mentor students from your partner university.</w:t>
            </w:r>
          </w:p>
        </w:tc>
      </w:tr>
    </w:tbl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E28B4" w:rsidRPr="009701F0" w:rsidSect="00BF1E86">
      <w:headerReference w:type="default" r:id="rId10"/>
      <w:footerReference w:type="default" r:id="rId11"/>
      <w:pgSz w:w="16839" w:h="23814" w:code="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F9" w:rsidRDefault="00BB46F9" w:rsidP="00BF1E86">
      <w:pPr>
        <w:spacing w:after="0" w:line="240" w:lineRule="auto"/>
      </w:pPr>
      <w:r>
        <w:separator/>
      </w:r>
    </w:p>
  </w:endnote>
  <w:endnote w:type="continuationSeparator" w:id="0">
    <w:p w:rsidR="00BB46F9" w:rsidRDefault="00BB46F9" w:rsidP="00BF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Pr="00BF1E86" w:rsidRDefault="00BF1E86" w:rsidP="00BF1E86">
    <w:pPr>
      <w:pStyle w:val="Header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-2521585</wp:posOffset>
          </wp:positionV>
          <wp:extent cx="6583680" cy="32918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post - Without Words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29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E86">
      <w:rPr>
        <w:rFonts w:ascii="KG Blank Space Sketch" w:hAnsi="KG Blank Space Sketch"/>
        <w:sz w:val="72"/>
      </w:rPr>
      <w:t>Careers at DSHS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F9" w:rsidRDefault="00BB46F9" w:rsidP="00BF1E86">
      <w:pPr>
        <w:spacing w:after="0" w:line="240" w:lineRule="auto"/>
      </w:pPr>
      <w:r>
        <w:separator/>
      </w:r>
    </w:p>
  </w:footnote>
  <w:footnote w:type="continuationSeparator" w:id="0">
    <w:p w:rsidR="00BB46F9" w:rsidRDefault="00BB46F9" w:rsidP="00BF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Default="00BF1E86" w:rsidP="00BF1E86">
    <w:pPr>
      <w:pStyle w:val="Header"/>
      <w:jc w:val="right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-130175</wp:posOffset>
          </wp:positionV>
          <wp:extent cx="1045522" cy="10800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HS badge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2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G Blank Space Sketch" w:hAnsi="KG Blank Space Sketch"/>
        <w:sz w:val="72"/>
      </w:rPr>
      <w:t>Job Profiles</w:t>
    </w:r>
  </w:p>
  <w:p w:rsid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  <w:p w:rsidR="00BF1E86" w:rsidRP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54C"/>
    <w:multiLevelType w:val="hybridMultilevel"/>
    <w:tmpl w:val="6BC256C6"/>
    <w:lvl w:ilvl="0" w:tplc="01E893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273"/>
    <w:multiLevelType w:val="hybridMultilevel"/>
    <w:tmpl w:val="4BDA5FA0"/>
    <w:lvl w:ilvl="0" w:tplc="01E893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1BE8"/>
    <w:multiLevelType w:val="hybridMultilevel"/>
    <w:tmpl w:val="7FEE71AE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C13BF"/>
    <w:multiLevelType w:val="hybridMultilevel"/>
    <w:tmpl w:val="5EE017C2"/>
    <w:lvl w:ilvl="0" w:tplc="01E8935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E13"/>
    <w:multiLevelType w:val="hybridMultilevel"/>
    <w:tmpl w:val="93269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4"/>
    <w:rsid w:val="000312B6"/>
    <w:rsid w:val="000908FD"/>
    <w:rsid w:val="000D4C31"/>
    <w:rsid w:val="00105FEC"/>
    <w:rsid w:val="00327396"/>
    <w:rsid w:val="003B2D8D"/>
    <w:rsid w:val="004D2365"/>
    <w:rsid w:val="007E28B4"/>
    <w:rsid w:val="00862E6F"/>
    <w:rsid w:val="009701F0"/>
    <w:rsid w:val="00981C76"/>
    <w:rsid w:val="00BB46F9"/>
    <w:rsid w:val="00BF1E86"/>
    <w:rsid w:val="00CC19E2"/>
    <w:rsid w:val="00CE4C5F"/>
    <w:rsid w:val="00DB491B"/>
    <w:rsid w:val="00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D4A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86"/>
  </w:style>
  <w:style w:type="paragraph" w:styleId="Footer">
    <w:name w:val="footer"/>
    <w:basedOn w:val="Normal"/>
    <w:link w:val="Foot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03DC828244BC58FBF76FE477D5" ma:contentTypeVersion="0" ma:contentTypeDescription="Create a new document." ma:contentTypeScope="" ma:versionID="b9fa5a50f90a6d392860b07b73c15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E84E1-3F8F-48BF-8B19-B6A63B95C94A}"/>
</file>

<file path=customXml/itemProps2.xml><?xml version="1.0" encoding="utf-8"?>
<ds:datastoreItem xmlns:ds="http://schemas.openxmlformats.org/officeDocument/2006/customXml" ds:itemID="{62346A5B-B7D2-4BF8-99B2-15D6258135BC}"/>
</file>

<file path=customXml/itemProps3.xml><?xml version="1.0" encoding="utf-8"?>
<ds:datastoreItem xmlns:ds="http://schemas.openxmlformats.org/officeDocument/2006/customXml" ds:itemID="{91873FA3-3105-4F0F-A6F8-3F5031D2D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Harding, HA</cp:lastModifiedBy>
  <cp:revision>4</cp:revision>
  <cp:lastPrinted>2018-11-09T09:58:00Z</cp:lastPrinted>
  <dcterms:created xsi:type="dcterms:W3CDTF">2020-03-06T10:18:00Z</dcterms:created>
  <dcterms:modified xsi:type="dcterms:W3CDTF">2020-03-06T10:22:00Z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0x010100E808B403DC828244BC58FBF76FE477D5</vt:lpwstr>
  </property>
</Properties>
</file>